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64" w:rsidRPr="00C75D40" w:rsidRDefault="00824A64" w:rsidP="00824A64">
      <w:pPr>
        <w:spacing w:line="216" w:lineRule="auto"/>
        <w:jc w:val="center"/>
        <w:rPr>
          <w:b/>
          <w:sz w:val="22"/>
          <w:szCs w:val="22"/>
          <w:lang w:val="uk-UA"/>
        </w:rPr>
      </w:pPr>
      <w:r w:rsidRPr="00C75D40">
        <w:rPr>
          <w:b/>
          <w:sz w:val="22"/>
          <w:szCs w:val="22"/>
          <w:lang w:val="uk-UA"/>
        </w:rPr>
        <w:t>ПОВІДОМЛЕННЯ</w:t>
      </w:r>
    </w:p>
    <w:p w:rsidR="00824A64" w:rsidRPr="00C75D40" w:rsidRDefault="00824A64" w:rsidP="00824A64">
      <w:pPr>
        <w:pStyle w:val="1"/>
        <w:widowControl w:val="0"/>
        <w:spacing w:line="216" w:lineRule="auto"/>
        <w:jc w:val="center"/>
        <w:rPr>
          <w:spacing w:val="20"/>
          <w:szCs w:val="22"/>
          <w:u w:val="single"/>
          <w:lang w:eastAsia="uk-UA"/>
        </w:rPr>
      </w:pPr>
      <w:r>
        <w:rPr>
          <w:spacing w:val="20"/>
          <w:szCs w:val="22"/>
          <w:u w:val="single"/>
          <w:lang w:eastAsia="uk-UA"/>
        </w:rPr>
        <w:t>ПРИВАТНЕ</w:t>
      </w:r>
      <w:r w:rsidRPr="00C75D40">
        <w:rPr>
          <w:spacing w:val="20"/>
          <w:szCs w:val="22"/>
          <w:u w:val="single"/>
          <w:lang w:eastAsia="uk-UA"/>
        </w:rPr>
        <w:t xml:space="preserve"> АКЦІОНЕРНЕ ТОВАРИСТВО «ПРОГРЕС»</w:t>
      </w:r>
    </w:p>
    <w:p w:rsidR="00824A64" w:rsidRPr="00C75D40" w:rsidRDefault="00824A64" w:rsidP="00824A64">
      <w:pPr>
        <w:spacing w:line="216" w:lineRule="auto"/>
        <w:jc w:val="center"/>
        <w:rPr>
          <w:sz w:val="22"/>
          <w:szCs w:val="22"/>
          <w:lang w:val="uk-UA" w:eastAsia="uk-UA"/>
        </w:rPr>
      </w:pPr>
      <w:r w:rsidRPr="00B140AE">
        <w:rPr>
          <w:sz w:val="22"/>
          <w:szCs w:val="22"/>
          <w:lang w:val="uk-UA" w:eastAsia="uk-UA"/>
        </w:rPr>
        <w:t>49035, Дніпропетровська обл., м</w:t>
      </w:r>
      <w:r>
        <w:rPr>
          <w:sz w:val="22"/>
          <w:szCs w:val="22"/>
          <w:lang w:val="uk-UA" w:eastAsia="uk-UA"/>
        </w:rPr>
        <w:t>.</w:t>
      </w:r>
      <w:r w:rsidRPr="00B140AE">
        <w:rPr>
          <w:sz w:val="22"/>
          <w:szCs w:val="22"/>
          <w:lang w:val="uk-UA" w:eastAsia="uk-UA"/>
        </w:rPr>
        <w:t xml:space="preserve"> Дніпро, </w:t>
      </w:r>
      <w:r>
        <w:rPr>
          <w:sz w:val="22"/>
          <w:szCs w:val="22"/>
          <w:lang w:val="uk-UA" w:eastAsia="uk-UA"/>
        </w:rPr>
        <w:t xml:space="preserve">вул. </w:t>
      </w:r>
      <w:r w:rsidRPr="00B140AE">
        <w:rPr>
          <w:sz w:val="22"/>
          <w:szCs w:val="22"/>
          <w:lang w:val="uk-UA" w:eastAsia="uk-UA"/>
        </w:rPr>
        <w:t>Ю</w:t>
      </w:r>
      <w:r>
        <w:rPr>
          <w:sz w:val="22"/>
          <w:szCs w:val="22"/>
          <w:lang w:val="uk-UA" w:eastAsia="uk-UA"/>
        </w:rPr>
        <w:t>діна</w:t>
      </w:r>
      <w:r w:rsidRPr="00B140AE">
        <w:rPr>
          <w:sz w:val="22"/>
          <w:szCs w:val="22"/>
          <w:lang w:val="uk-UA" w:eastAsia="uk-UA"/>
        </w:rPr>
        <w:t>, буд</w:t>
      </w:r>
      <w:r>
        <w:rPr>
          <w:sz w:val="22"/>
          <w:szCs w:val="22"/>
          <w:lang w:val="uk-UA" w:eastAsia="uk-UA"/>
        </w:rPr>
        <w:t>.</w:t>
      </w:r>
      <w:r w:rsidRPr="00B140AE">
        <w:rPr>
          <w:sz w:val="22"/>
          <w:szCs w:val="22"/>
          <w:lang w:val="uk-UA" w:eastAsia="uk-UA"/>
        </w:rPr>
        <w:t xml:space="preserve"> 11</w:t>
      </w:r>
      <w:r w:rsidRPr="00C75D40">
        <w:rPr>
          <w:sz w:val="22"/>
          <w:szCs w:val="22"/>
          <w:lang w:val="uk-UA" w:eastAsia="uk-UA"/>
        </w:rPr>
        <w:t>, код ЄДРПОУ 02969188</w:t>
      </w:r>
    </w:p>
    <w:p w:rsidR="00824A64" w:rsidRPr="00C75D40" w:rsidRDefault="00824A64" w:rsidP="00824A64">
      <w:pPr>
        <w:spacing w:line="216" w:lineRule="auto"/>
        <w:jc w:val="center"/>
        <w:rPr>
          <w:sz w:val="22"/>
          <w:szCs w:val="22"/>
          <w:lang w:val="uk-UA" w:eastAsia="uk-UA"/>
        </w:rPr>
      </w:pPr>
      <w:r w:rsidRPr="00C75D40">
        <w:rPr>
          <w:sz w:val="22"/>
          <w:szCs w:val="22"/>
          <w:lang w:val="uk-UA" w:eastAsia="uk-UA"/>
        </w:rPr>
        <w:t xml:space="preserve">(надалі –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w:t>
      </w:r>
    </w:p>
    <w:p w:rsidR="00824A64" w:rsidRPr="00C75D40" w:rsidRDefault="00824A64" w:rsidP="00824A64">
      <w:pPr>
        <w:spacing w:line="216" w:lineRule="auto"/>
        <w:jc w:val="both"/>
        <w:rPr>
          <w:sz w:val="22"/>
          <w:szCs w:val="22"/>
          <w:lang w:val="uk-UA" w:eastAsia="uk-UA"/>
        </w:rPr>
      </w:pP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повідомляє, що відповідно до рішення Наглядової ради (Протокол № 0</w:t>
      </w:r>
      <w:r w:rsidR="00814C4B" w:rsidRPr="00814C4B">
        <w:rPr>
          <w:sz w:val="22"/>
          <w:szCs w:val="22"/>
          <w:lang w:val="uk-UA" w:eastAsia="uk-UA"/>
        </w:rPr>
        <w:t>6</w:t>
      </w:r>
      <w:r w:rsidRPr="00C75D40">
        <w:rPr>
          <w:sz w:val="22"/>
          <w:szCs w:val="22"/>
          <w:lang w:val="uk-UA" w:eastAsia="uk-UA"/>
        </w:rPr>
        <w:t>-</w:t>
      </w:r>
      <w:r>
        <w:rPr>
          <w:sz w:val="22"/>
          <w:szCs w:val="22"/>
          <w:lang w:val="uk-UA" w:eastAsia="uk-UA"/>
        </w:rPr>
        <w:t>20</w:t>
      </w:r>
      <w:r w:rsidRPr="00C75D40">
        <w:rPr>
          <w:sz w:val="22"/>
          <w:szCs w:val="22"/>
          <w:lang w:val="uk-UA" w:eastAsia="uk-UA"/>
        </w:rPr>
        <w:t xml:space="preserve"> від «</w:t>
      </w:r>
      <w:r w:rsidR="00814C4B" w:rsidRPr="00814C4B">
        <w:rPr>
          <w:sz w:val="22"/>
          <w:szCs w:val="22"/>
          <w:lang w:val="uk-UA" w:eastAsia="uk-UA"/>
        </w:rPr>
        <w:t>20</w:t>
      </w:r>
      <w:r w:rsidRPr="00C75D40">
        <w:rPr>
          <w:sz w:val="22"/>
          <w:szCs w:val="22"/>
          <w:lang w:val="uk-UA" w:eastAsia="uk-UA"/>
        </w:rPr>
        <w:t xml:space="preserve">» </w:t>
      </w:r>
      <w:r w:rsidR="00814C4B">
        <w:rPr>
          <w:sz w:val="22"/>
          <w:szCs w:val="22"/>
          <w:lang w:val="uk-UA" w:eastAsia="uk-UA"/>
        </w:rPr>
        <w:t>липня</w:t>
      </w:r>
      <w:r w:rsidRPr="00C75D40">
        <w:rPr>
          <w:sz w:val="22"/>
          <w:szCs w:val="22"/>
          <w:lang w:val="uk-UA" w:eastAsia="uk-UA"/>
        </w:rPr>
        <w:t xml:space="preserve"> 20</w:t>
      </w:r>
      <w:r>
        <w:rPr>
          <w:sz w:val="22"/>
          <w:szCs w:val="22"/>
          <w:lang w:val="uk-UA" w:eastAsia="uk-UA"/>
        </w:rPr>
        <w:t>20</w:t>
      </w:r>
      <w:r w:rsidRPr="00C75D40">
        <w:rPr>
          <w:sz w:val="22"/>
          <w:szCs w:val="22"/>
          <w:lang w:val="uk-UA" w:eastAsia="uk-UA"/>
        </w:rPr>
        <w:t xml:space="preserve"> року) </w:t>
      </w:r>
      <w:r w:rsidR="00814C4B">
        <w:rPr>
          <w:sz w:val="22"/>
          <w:szCs w:val="22"/>
          <w:lang w:val="uk-UA" w:eastAsia="uk-UA"/>
        </w:rPr>
        <w:t>поза</w:t>
      </w:r>
      <w:r w:rsidRPr="00C75D40">
        <w:rPr>
          <w:sz w:val="22"/>
          <w:szCs w:val="22"/>
          <w:lang w:val="uk-UA" w:eastAsia="uk-UA"/>
        </w:rPr>
        <w:t xml:space="preserve">чергові загальні збори товариства відбудуться </w:t>
      </w:r>
      <w:r w:rsidRPr="00C75D40">
        <w:rPr>
          <w:b/>
          <w:sz w:val="22"/>
          <w:szCs w:val="22"/>
          <w:lang w:val="uk-UA" w:eastAsia="uk-UA"/>
        </w:rPr>
        <w:t>«</w:t>
      </w:r>
      <w:r>
        <w:rPr>
          <w:b/>
          <w:sz w:val="22"/>
          <w:szCs w:val="22"/>
          <w:lang w:val="uk-UA" w:eastAsia="uk-UA"/>
        </w:rPr>
        <w:t>2</w:t>
      </w:r>
      <w:r w:rsidR="00F865E4" w:rsidRPr="00F865E4">
        <w:rPr>
          <w:b/>
          <w:sz w:val="22"/>
          <w:szCs w:val="22"/>
          <w:lang w:eastAsia="uk-UA"/>
        </w:rPr>
        <w:t>7</w:t>
      </w:r>
      <w:r w:rsidRPr="00C75D40">
        <w:rPr>
          <w:b/>
          <w:sz w:val="22"/>
          <w:szCs w:val="22"/>
          <w:lang w:val="uk-UA" w:eastAsia="uk-UA"/>
        </w:rPr>
        <w:t xml:space="preserve">» </w:t>
      </w:r>
      <w:r w:rsidR="00814C4B">
        <w:rPr>
          <w:b/>
          <w:sz w:val="22"/>
          <w:szCs w:val="22"/>
          <w:lang w:val="uk-UA" w:eastAsia="uk-UA"/>
        </w:rPr>
        <w:t xml:space="preserve">серпня </w:t>
      </w:r>
      <w:r w:rsidRPr="00C75D40">
        <w:rPr>
          <w:b/>
          <w:sz w:val="22"/>
          <w:szCs w:val="22"/>
          <w:lang w:val="uk-UA" w:eastAsia="uk-UA"/>
        </w:rPr>
        <w:t xml:space="preserve"> 20</w:t>
      </w:r>
      <w:r>
        <w:rPr>
          <w:b/>
          <w:sz w:val="22"/>
          <w:szCs w:val="22"/>
          <w:lang w:val="uk-UA" w:eastAsia="uk-UA"/>
        </w:rPr>
        <w:t>20</w:t>
      </w:r>
      <w:r w:rsidRPr="00C75D40">
        <w:rPr>
          <w:b/>
          <w:sz w:val="22"/>
          <w:szCs w:val="22"/>
          <w:lang w:val="uk-UA" w:eastAsia="uk-UA"/>
        </w:rPr>
        <w:t xml:space="preserve"> року о 1</w:t>
      </w:r>
      <w:r w:rsidR="00814C4B">
        <w:rPr>
          <w:b/>
          <w:sz w:val="22"/>
          <w:szCs w:val="22"/>
          <w:lang w:val="uk-UA" w:eastAsia="uk-UA"/>
        </w:rPr>
        <w:t>0</w:t>
      </w:r>
      <w:r w:rsidRPr="00C75D40">
        <w:rPr>
          <w:b/>
          <w:sz w:val="22"/>
          <w:szCs w:val="22"/>
          <w:lang w:val="uk-UA" w:eastAsia="uk-UA"/>
        </w:rPr>
        <w:t>-30 год.</w:t>
      </w:r>
      <w:r w:rsidRPr="00C75D40">
        <w:rPr>
          <w:sz w:val="22"/>
          <w:szCs w:val="22"/>
          <w:lang w:val="uk-UA" w:eastAsia="uk-UA"/>
        </w:rPr>
        <w:t xml:space="preserve"> за адресою: </w:t>
      </w:r>
      <w:r w:rsidRPr="00C75D40">
        <w:rPr>
          <w:b/>
          <w:sz w:val="22"/>
          <w:szCs w:val="22"/>
          <w:lang w:val="uk-UA" w:eastAsia="uk-UA"/>
        </w:rPr>
        <w:t xml:space="preserve">49035, м. Дніпро, вул. Юдіна, буд. 11 в приміщенні адміністративного корпусу </w:t>
      </w:r>
      <w:proofErr w:type="spellStart"/>
      <w:r w:rsidRPr="00C75D40">
        <w:rPr>
          <w:b/>
          <w:sz w:val="22"/>
          <w:szCs w:val="22"/>
          <w:lang w:val="uk-UA" w:eastAsia="uk-UA"/>
        </w:rPr>
        <w:t>П</w:t>
      </w:r>
      <w:r>
        <w:rPr>
          <w:b/>
          <w:sz w:val="22"/>
          <w:szCs w:val="22"/>
          <w:lang w:val="uk-UA" w:eastAsia="uk-UA"/>
        </w:rPr>
        <w:t>р</w:t>
      </w:r>
      <w:r w:rsidRPr="00C75D40">
        <w:rPr>
          <w:b/>
          <w:sz w:val="22"/>
          <w:szCs w:val="22"/>
          <w:lang w:val="uk-UA" w:eastAsia="uk-UA"/>
        </w:rPr>
        <w:t>АТ</w:t>
      </w:r>
      <w:proofErr w:type="spellEnd"/>
      <w:r w:rsidRPr="00C75D40">
        <w:rPr>
          <w:b/>
          <w:sz w:val="22"/>
          <w:szCs w:val="22"/>
          <w:lang w:val="uk-UA" w:eastAsia="uk-UA"/>
        </w:rPr>
        <w:t xml:space="preserve"> «Прогрес» (</w:t>
      </w:r>
      <w:r w:rsidR="00814C4B">
        <w:rPr>
          <w:b/>
          <w:sz w:val="22"/>
          <w:szCs w:val="22"/>
          <w:lang w:val="uk-UA" w:eastAsia="uk-UA"/>
        </w:rPr>
        <w:t>5</w:t>
      </w:r>
      <w:r w:rsidRPr="00C75D40">
        <w:rPr>
          <w:b/>
          <w:sz w:val="22"/>
          <w:szCs w:val="22"/>
          <w:lang w:val="uk-UA" w:eastAsia="uk-UA"/>
        </w:rPr>
        <w:t xml:space="preserve"> поверх)</w:t>
      </w:r>
      <w:r w:rsidRPr="00C75D40">
        <w:rPr>
          <w:sz w:val="22"/>
          <w:szCs w:val="22"/>
          <w:lang w:val="uk-UA" w:eastAsia="uk-UA"/>
        </w:rPr>
        <w:t>. Реєстрація акціонерів загальних зборів та їх представників відбудеться «</w:t>
      </w:r>
      <w:r>
        <w:rPr>
          <w:sz w:val="22"/>
          <w:szCs w:val="22"/>
          <w:lang w:val="uk-UA" w:eastAsia="uk-UA"/>
        </w:rPr>
        <w:t>2</w:t>
      </w:r>
      <w:r w:rsidR="00F865E4" w:rsidRPr="00F865E4">
        <w:rPr>
          <w:sz w:val="22"/>
          <w:szCs w:val="22"/>
          <w:lang w:eastAsia="uk-UA"/>
        </w:rPr>
        <w:t>7</w:t>
      </w:r>
      <w:r w:rsidRPr="00C75D40">
        <w:rPr>
          <w:sz w:val="22"/>
          <w:szCs w:val="22"/>
          <w:lang w:val="uk-UA" w:eastAsia="uk-UA"/>
        </w:rPr>
        <w:t xml:space="preserve">» </w:t>
      </w:r>
      <w:r w:rsidR="00814C4B">
        <w:rPr>
          <w:sz w:val="22"/>
          <w:szCs w:val="22"/>
          <w:lang w:val="uk-UA" w:eastAsia="uk-UA"/>
        </w:rPr>
        <w:t>серпня</w:t>
      </w:r>
      <w:r w:rsidRPr="00C75D40">
        <w:rPr>
          <w:sz w:val="22"/>
          <w:szCs w:val="22"/>
          <w:lang w:val="uk-UA" w:eastAsia="uk-UA"/>
        </w:rPr>
        <w:t xml:space="preserve"> 20</w:t>
      </w:r>
      <w:r>
        <w:rPr>
          <w:sz w:val="22"/>
          <w:szCs w:val="22"/>
          <w:lang w:val="uk-UA" w:eastAsia="uk-UA"/>
        </w:rPr>
        <w:t>20</w:t>
      </w:r>
      <w:r w:rsidRPr="00C75D40">
        <w:rPr>
          <w:sz w:val="22"/>
          <w:szCs w:val="22"/>
          <w:lang w:val="uk-UA" w:eastAsia="uk-UA"/>
        </w:rPr>
        <w:t xml:space="preserve"> року з 1</w:t>
      </w:r>
      <w:r w:rsidR="00814C4B">
        <w:rPr>
          <w:sz w:val="22"/>
          <w:szCs w:val="22"/>
          <w:lang w:val="uk-UA" w:eastAsia="uk-UA"/>
        </w:rPr>
        <w:t>0</w:t>
      </w:r>
      <w:r w:rsidRPr="00C75D40">
        <w:rPr>
          <w:sz w:val="22"/>
          <w:szCs w:val="22"/>
          <w:lang w:val="uk-UA" w:eastAsia="uk-UA"/>
        </w:rPr>
        <w:t>-00 до 1</w:t>
      </w:r>
      <w:r w:rsidR="00814C4B">
        <w:rPr>
          <w:sz w:val="22"/>
          <w:szCs w:val="22"/>
          <w:lang w:val="uk-UA" w:eastAsia="uk-UA"/>
        </w:rPr>
        <w:t>0</w:t>
      </w:r>
      <w:r w:rsidRPr="00C75D40">
        <w:rPr>
          <w:sz w:val="22"/>
          <w:szCs w:val="22"/>
          <w:lang w:val="uk-UA" w:eastAsia="uk-UA"/>
        </w:rPr>
        <w:t>-15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824A64" w:rsidRPr="00C75D40" w:rsidRDefault="00824A64" w:rsidP="00824A64">
      <w:pPr>
        <w:spacing w:line="216" w:lineRule="auto"/>
        <w:jc w:val="both"/>
        <w:rPr>
          <w:sz w:val="22"/>
          <w:szCs w:val="22"/>
          <w:lang w:val="uk-UA" w:eastAsia="uk-UA"/>
        </w:rPr>
      </w:pPr>
      <w:r w:rsidRPr="00C75D40">
        <w:rPr>
          <w:sz w:val="22"/>
          <w:szCs w:val="22"/>
          <w:lang w:val="uk-UA" w:eastAsia="uk-UA"/>
        </w:rPr>
        <w:t xml:space="preserve">Перелік акціонерів, які мають право на участь у річних загальних зборах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буде складений станом на 24 годину «</w:t>
      </w:r>
      <w:r w:rsidR="00F865E4" w:rsidRPr="00F865E4">
        <w:rPr>
          <w:sz w:val="22"/>
          <w:szCs w:val="22"/>
          <w:lang w:eastAsia="uk-UA"/>
        </w:rPr>
        <w:t>20</w:t>
      </w:r>
      <w:r w:rsidRPr="00C75D40">
        <w:rPr>
          <w:sz w:val="22"/>
          <w:szCs w:val="22"/>
          <w:lang w:val="uk-UA" w:eastAsia="uk-UA"/>
        </w:rPr>
        <w:t xml:space="preserve">» </w:t>
      </w:r>
      <w:r w:rsidR="00814C4B">
        <w:rPr>
          <w:sz w:val="22"/>
          <w:szCs w:val="22"/>
          <w:lang w:val="uk-UA" w:eastAsia="uk-UA"/>
        </w:rPr>
        <w:t>серпня</w:t>
      </w:r>
      <w:r w:rsidRPr="00C75D40">
        <w:rPr>
          <w:sz w:val="22"/>
          <w:szCs w:val="22"/>
          <w:lang w:val="uk-UA" w:eastAsia="uk-UA"/>
        </w:rPr>
        <w:t xml:space="preserve"> 20</w:t>
      </w:r>
      <w:r>
        <w:rPr>
          <w:sz w:val="22"/>
          <w:szCs w:val="22"/>
          <w:lang w:val="uk-UA" w:eastAsia="uk-UA"/>
        </w:rPr>
        <w:t>20</w:t>
      </w:r>
      <w:r w:rsidRPr="00C75D40">
        <w:rPr>
          <w:sz w:val="22"/>
          <w:szCs w:val="22"/>
          <w:lang w:val="uk-UA" w:eastAsia="uk-UA"/>
        </w:rPr>
        <w:t xml:space="preserve"> року.</w:t>
      </w:r>
    </w:p>
    <w:p w:rsidR="00824A64" w:rsidRPr="00C75D40" w:rsidRDefault="00824A64" w:rsidP="00824A64">
      <w:pPr>
        <w:spacing w:line="216" w:lineRule="auto"/>
        <w:ind w:firstLine="709"/>
        <w:jc w:val="center"/>
        <w:rPr>
          <w:b/>
          <w:spacing w:val="20"/>
          <w:sz w:val="22"/>
          <w:szCs w:val="22"/>
          <w:u w:val="single"/>
          <w:lang w:val="uk-UA" w:eastAsia="uk-UA"/>
        </w:rPr>
      </w:pPr>
      <w:r w:rsidRPr="00C75D40">
        <w:rPr>
          <w:b/>
          <w:sz w:val="22"/>
          <w:szCs w:val="22"/>
          <w:lang w:val="uk-UA" w:eastAsia="uk-UA"/>
        </w:rPr>
        <w:t>Проект порядку денного:</w:t>
      </w:r>
    </w:p>
    <w:p w:rsidR="00824A64" w:rsidRPr="000D16C6" w:rsidRDefault="00824A64" w:rsidP="00824A64">
      <w:pPr>
        <w:spacing w:line="216" w:lineRule="auto"/>
        <w:jc w:val="both"/>
        <w:rPr>
          <w:sz w:val="22"/>
          <w:szCs w:val="22"/>
          <w:lang w:val="uk-UA"/>
        </w:rPr>
      </w:pPr>
      <w:r w:rsidRPr="000D16C6">
        <w:rPr>
          <w:sz w:val="22"/>
          <w:szCs w:val="22"/>
          <w:lang w:val="uk-UA"/>
        </w:rPr>
        <w:t>1. Про обрання лічильної комісії загальних зборів акціонерів.</w:t>
      </w:r>
    </w:p>
    <w:p w:rsidR="00824A64" w:rsidRPr="000D16C6" w:rsidRDefault="00824A64" w:rsidP="00824A64">
      <w:pPr>
        <w:spacing w:line="216" w:lineRule="auto"/>
        <w:jc w:val="both"/>
        <w:rPr>
          <w:sz w:val="22"/>
          <w:szCs w:val="22"/>
          <w:lang w:val="uk-UA"/>
        </w:rPr>
      </w:pPr>
      <w:r w:rsidRPr="000D16C6">
        <w:rPr>
          <w:sz w:val="22"/>
          <w:szCs w:val="22"/>
          <w:lang w:val="uk-UA"/>
        </w:rPr>
        <w:t>2. Про встановлення порядку та способу засвідчення бюлетеня для голосування</w:t>
      </w:r>
      <w:r>
        <w:rPr>
          <w:sz w:val="22"/>
          <w:szCs w:val="22"/>
          <w:lang w:val="uk-UA"/>
        </w:rPr>
        <w:t xml:space="preserve"> на загальних зборах акціонерів.</w:t>
      </w:r>
    </w:p>
    <w:p w:rsidR="00824A64" w:rsidRPr="000D16C6" w:rsidRDefault="00824A64" w:rsidP="00824A64">
      <w:pPr>
        <w:spacing w:line="216" w:lineRule="auto"/>
        <w:jc w:val="both"/>
        <w:rPr>
          <w:sz w:val="22"/>
          <w:szCs w:val="22"/>
          <w:lang w:val="uk-UA"/>
        </w:rPr>
      </w:pPr>
      <w:r w:rsidRPr="000D16C6">
        <w:rPr>
          <w:sz w:val="22"/>
          <w:szCs w:val="22"/>
          <w:lang w:val="uk-UA"/>
        </w:rPr>
        <w:t>3. Обрання голови та секретаря зборів акціонерів.</w:t>
      </w:r>
    </w:p>
    <w:p w:rsidR="00824A64" w:rsidRPr="000D16C6" w:rsidRDefault="00824A64" w:rsidP="00824A64">
      <w:pPr>
        <w:spacing w:line="216" w:lineRule="auto"/>
        <w:jc w:val="both"/>
        <w:rPr>
          <w:sz w:val="22"/>
          <w:szCs w:val="22"/>
          <w:lang w:val="uk-UA"/>
        </w:rPr>
      </w:pPr>
      <w:r w:rsidRPr="000D16C6">
        <w:rPr>
          <w:sz w:val="22"/>
          <w:szCs w:val="22"/>
          <w:lang w:val="uk-UA"/>
        </w:rPr>
        <w:t>4. Про прийняття рішень з питань порядку проведення Зборів Товариства.</w:t>
      </w:r>
    </w:p>
    <w:p w:rsidR="00824A64" w:rsidRPr="000D16C6" w:rsidRDefault="00814C4B" w:rsidP="00824A64">
      <w:pPr>
        <w:spacing w:line="216" w:lineRule="auto"/>
        <w:jc w:val="both"/>
        <w:rPr>
          <w:sz w:val="22"/>
          <w:szCs w:val="22"/>
          <w:lang w:val="uk-UA"/>
        </w:rPr>
      </w:pPr>
      <w:r>
        <w:rPr>
          <w:sz w:val="22"/>
          <w:szCs w:val="22"/>
          <w:lang w:val="uk-UA"/>
        </w:rPr>
        <w:t>5</w:t>
      </w:r>
      <w:r w:rsidR="00824A64" w:rsidRPr="000D16C6">
        <w:rPr>
          <w:sz w:val="22"/>
          <w:szCs w:val="22"/>
          <w:lang w:val="uk-UA"/>
        </w:rPr>
        <w:t>. Розподіл прибутку товариства.</w:t>
      </w:r>
    </w:p>
    <w:p w:rsidR="00824A64" w:rsidRPr="00254A01" w:rsidRDefault="00824A64" w:rsidP="00824A64">
      <w:pPr>
        <w:spacing w:line="216" w:lineRule="auto"/>
        <w:jc w:val="center"/>
        <w:rPr>
          <w:b/>
          <w:sz w:val="22"/>
          <w:szCs w:val="22"/>
          <w:lang w:val="uk-UA"/>
        </w:rPr>
      </w:pPr>
      <w:r w:rsidRPr="00254A01">
        <w:rPr>
          <w:b/>
          <w:sz w:val="22"/>
          <w:szCs w:val="22"/>
          <w:lang w:val="uk-UA"/>
        </w:rPr>
        <w:t>Проект рішень по питанням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824A64" w:rsidRPr="00254A01" w:rsidRDefault="00824A64" w:rsidP="00824A64">
      <w:pPr>
        <w:spacing w:line="216" w:lineRule="auto"/>
        <w:jc w:val="both"/>
        <w:rPr>
          <w:sz w:val="22"/>
          <w:szCs w:val="22"/>
          <w:lang w:val="uk-UA"/>
        </w:rPr>
      </w:pPr>
      <w:r w:rsidRPr="00254A01">
        <w:rPr>
          <w:sz w:val="22"/>
          <w:szCs w:val="22"/>
          <w:lang w:val="uk-UA"/>
        </w:rPr>
        <w:t xml:space="preserve">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w:t>
      </w:r>
      <w:r>
        <w:rPr>
          <w:sz w:val="22"/>
          <w:szCs w:val="22"/>
          <w:lang w:val="uk-UA"/>
        </w:rPr>
        <w:t>члена</w:t>
      </w:r>
      <w:r w:rsidRPr="00254A01">
        <w:rPr>
          <w:sz w:val="22"/>
          <w:szCs w:val="22"/>
          <w:lang w:val="uk-UA"/>
        </w:rPr>
        <w:t xml:space="preserve"> реєстраційної комісії, яка видає бюлетені акціонеру (його представнику) при реєстрації.</w:t>
      </w:r>
    </w:p>
    <w:p w:rsidR="00824A64" w:rsidRPr="00254A01" w:rsidRDefault="00824A64" w:rsidP="00824A64">
      <w:pPr>
        <w:spacing w:line="216" w:lineRule="auto"/>
        <w:jc w:val="both"/>
        <w:rPr>
          <w:sz w:val="22"/>
          <w:szCs w:val="22"/>
          <w:lang w:val="uk-UA"/>
        </w:rPr>
      </w:pPr>
      <w:r w:rsidRPr="00254A01">
        <w:rPr>
          <w:sz w:val="22"/>
          <w:szCs w:val="22"/>
          <w:lang w:val="uk-UA"/>
        </w:rPr>
        <w:t xml:space="preserve">3.1. Обрати Головою загальних зборів - </w:t>
      </w:r>
      <w:proofErr w:type="spellStart"/>
      <w:r w:rsidRPr="00254A01">
        <w:rPr>
          <w:sz w:val="22"/>
          <w:szCs w:val="22"/>
          <w:lang w:val="uk-UA"/>
        </w:rPr>
        <w:t>Кліментьєву</w:t>
      </w:r>
      <w:proofErr w:type="spellEnd"/>
      <w:r w:rsidRPr="00254A01">
        <w:rPr>
          <w:sz w:val="22"/>
          <w:szCs w:val="22"/>
          <w:lang w:val="uk-UA"/>
        </w:rPr>
        <w:t xml:space="preserve"> Тетяну Євгенівну, обрати Секретарем загальних зборів - Новікову Ольгу Олексіївну.</w:t>
      </w:r>
    </w:p>
    <w:p w:rsidR="00824A64" w:rsidRPr="00254A01" w:rsidRDefault="00824A64" w:rsidP="00824A64">
      <w:pPr>
        <w:spacing w:line="216" w:lineRule="auto"/>
        <w:jc w:val="both"/>
        <w:rPr>
          <w:sz w:val="22"/>
          <w:szCs w:val="22"/>
          <w:lang w:val="uk-UA"/>
        </w:rPr>
      </w:pPr>
      <w:r w:rsidRPr="00254A01">
        <w:rPr>
          <w:sz w:val="22"/>
          <w:szCs w:val="22"/>
          <w:lang w:val="uk-UA"/>
        </w:rPr>
        <w:t>4.1. Встановити наступний порядок проведення Зборів Товариства:</w:t>
      </w:r>
    </w:p>
    <w:p w:rsidR="00824A64" w:rsidRPr="00254A01" w:rsidRDefault="00824A64" w:rsidP="00824A64">
      <w:pPr>
        <w:spacing w:line="216" w:lineRule="auto"/>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824A64" w:rsidRPr="00254A01" w:rsidRDefault="00824A64" w:rsidP="00824A64">
      <w:pPr>
        <w:spacing w:line="216" w:lineRule="auto"/>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824A64" w:rsidRPr="00254A01" w:rsidRDefault="00824A64" w:rsidP="00824A64">
      <w:pPr>
        <w:spacing w:line="216" w:lineRule="auto"/>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824A64" w:rsidRPr="00254A01" w:rsidRDefault="00824A64" w:rsidP="00824A64">
      <w:pPr>
        <w:spacing w:line="216" w:lineRule="auto"/>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824A64" w:rsidRPr="00254A01" w:rsidRDefault="00824A64" w:rsidP="00824A64">
      <w:pPr>
        <w:spacing w:line="216" w:lineRule="auto"/>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 доповідь по питанням порядку денного Зборів  - до 10 хв.;</w:t>
      </w:r>
    </w:p>
    <w:p w:rsidR="00824A64" w:rsidRPr="00254A01" w:rsidRDefault="00824A64" w:rsidP="00824A64">
      <w:pPr>
        <w:spacing w:line="216" w:lineRule="auto"/>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824A64" w:rsidRPr="00254A01" w:rsidRDefault="00824A64" w:rsidP="00824A64">
      <w:pPr>
        <w:spacing w:line="216" w:lineRule="auto"/>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824A64" w:rsidRPr="00254A01" w:rsidRDefault="00824A64" w:rsidP="00824A64">
      <w:pPr>
        <w:spacing w:line="216" w:lineRule="auto"/>
        <w:jc w:val="both"/>
        <w:rPr>
          <w:sz w:val="22"/>
          <w:szCs w:val="22"/>
          <w:lang w:val="uk-UA"/>
        </w:rPr>
      </w:pPr>
      <w:r w:rsidRPr="00254A01">
        <w:rPr>
          <w:sz w:val="22"/>
          <w:szCs w:val="22"/>
          <w:lang w:val="uk-UA"/>
        </w:rPr>
        <w:t>4.2. 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824A64" w:rsidRPr="0040753C" w:rsidRDefault="00E10C20" w:rsidP="00824A64">
      <w:pPr>
        <w:spacing w:line="216" w:lineRule="auto"/>
        <w:jc w:val="both"/>
        <w:rPr>
          <w:sz w:val="22"/>
          <w:szCs w:val="22"/>
          <w:lang w:val="uk-UA"/>
        </w:rPr>
      </w:pPr>
      <w:r>
        <w:rPr>
          <w:sz w:val="22"/>
          <w:szCs w:val="22"/>
          <w:lang w:val="uk-UA"/>
        </w:rPr>
        <w:t>5</w:t>
      </w:r>
      <w:r w:rsidR="00824A64" w:rsidRPr="00BD4F00">
        <w:rPr>
          <w:sz w:val="22"/>
          <w:szCs w:val="22"/>
          <w:lang w:val="uk-UA"/>
        </w:rPr>
        <w:t>.</w:t>
      </w:r>
      <w:r>
        <w:rPr>
          <w:sz w:val="22"/>
          <w:szCs w:val="22"/>
          <w:lang w:val="uk-UA"/>
        </w:rPr>
        <w:t>1</w:t>
      </w:r>
      <w:r w:rsidR="00824A64" w:rsidRPr="00BD4F00">
        <w:rPr>
          <w:sz w:val="22"/>
          <w:szCs w:val="22"/>
          <w:lang w:val="uk-UA"/>
        </w:rPr>
        <w:t xml:space="preserve">. </w:t>
      </w:r>
      <w:r w:rsidR="00824A64" w:rsidRPr="0040753C">
        <w:rPr>
          <w:sz w:val="22"/>
          <w:szCs w:val="22"/>
          <w:lang w:val="uk-UA"/>
        </w:rPr>
        <w:t>Затвердити розподіл чистого прибутку за 201</w:t>
      </w:r>
      <w:r w:rsidR="00824A64">
        <w:rPr>
          <w:sz w:val="22"/>
          <w:szCs w:val="22"/>
          <w:lang w:val="uk-UA"/>
        </w:rPr>
        <w:t>9</w:t>
      </w:r>
      <w:r w:rsidR="00824A64" w:rsidRPr="0040753C">
        <w:rPr>
          <w:sz w:val="22"/>
          <w:szCs w:val="22"/>
          <w:lang w:val="uk-UA"/>
        </w:rPr>
        <w:t xml:space="preserve"> рік у розмірі </w:t>
      </w:r>
      <w:r w:rsidR="00824A64" w:rsidRPr="0007781C">
        <w:rPr>
          <w:sz w:val="22"/>
          <w:szCs w:val="22"/>
          <w:lang w:val="uk-UA"/>
        </w:rPr>
        <w:t>6</w:t>
      </w:r>
      <w:r w:rsidR="00824A64">
        <w:rPr>
          <w:sz w:val="22"/>
          <w:szCs w:val="22"/>
          <w:lang w:val="uk-UA"/>
        </w:rPr>
        <w:t> 551</w:t>
      </w:r>
      <w:r w:rsidR="00824A64" w:rsidRPr="0040753C">
        <w:rPr>
          <w:szCs w:val="22"/>
          <w:lang w:val="uk-UA"/>
        </w:rPr>
        <w:t> </w:t>
      </w:r>
      <w:r w:rsidR="00824A64" w:rsidRPr="0040753C">
        <w:rPr>
          <w:sz w:val="22"/>
          <w:szCs w:val="22"/>
          <w:lang w:val="uk-UA"/>
        </w:rPr>
        <w:t>000 грн. (</w:t>
      </w:r>
      <w:r w:rsidR="00824A64">
        <w:rPr>
          <w:sz w:val="22"/>
          <w:szCs w:val="22"/>
          <w:lang w:val="uk-UA"/>
        </w:rPr>
        <w:t xml:space="preserve">шість </w:t>
      </w:r>
      <w:r w:rsidR="00824A64" w:rsidRPr="0040753C">
        <w:rPr>
          <w:sz w:val="22"/>
          <w:szCs w:val="22"/>
          <w:lang w:val="uk-UA"/>
        </w:rPr>
        <w:t xml:space="preserve">мільйонів </w:t>
      </w:r>
      <w:r w:rsidR="00824A64">
        <w:rPr>
          <w:sz w:val="22"/>
          <w:szCs w:val="22"/>
          <w:lang w:val="uk-UA"/>
        </w:rPr>
        <w:t xml:space="preserve">п’ятсот п’ятдесят одна тисяча </w:t>
      </w:r>
      <w:r w:rsidR="00824A64" w:rsidRPr="0040753C">
        <w:rPr>
          <w:sz w:val="22"/>
          <w:szCs w:val="22"/>
          <w:lang w:val="uk-UA"/>
        </w:rPr>
        <w:t>гривень) наступним чином:</w:t>
      </w:r>
      <w:r>
        <w:rPr>
          <w:sz w:val="22"/>
          <w:szCs w:val="22"/>
          <w:lang w:val="uk-UA"/>
        </w:rPr>
        <w:t xml:space="preserve"> </w:t>
      </w:r>
      <w:r w:rsidR="00824A64" w:rsidRPr="0040753C">
        <w:rPr>
          <w:sz w:val="22"/>
          <w:szCs w:val="22"/>
          <w:lang w:val="uk-UA"/>
        </w:rPr>
        <w:t xml:space="preserve"> </w:t>
      </w:r>
      <w:r w:rsidRPr="0007781C">
        <w:rPr>
          <w:sz w:val="22"/>
          <w:szCs w:val="22"/>
          <w:lang w:val="uk-UA"/>
        </w:rPr>
        <w:t>6</w:t>
      </w:r>
      <w:r>
        <w:rPr>
          <w:sz w:val="22"/>
          <w:szCs w:val="22"/>
          <w:lang w:val="uk-UA"/>
        </w:rPr>
        <w:t> 551</w:t>
      </w:r>
      <w:r w:rsidRPr="0040753C">
        <w:rPr>
          <w:szCs w:val="22"/>
          <w:lang w:val="uk-UA"/>
        </w:rPr>
        <w:t> </w:t>
      </w:r>
      <w:r w:rsidRPr="0040753C">
        <w:rPr>
          <w:sz w:val="22"/>
          <w:szCs w:val="22"/>
          <w:lang w:val="uk-UA"/>
        </w:rPr>
        <w:t>000 грн. (</w:t>
      </w:r>
      <w:r>
        <w:rPr>
          <w:sz w:val="22"/>
          <w:szCs w:val="22"/>
          <w:lang w:val="uk-UA"/>
        </w:rPr>
        <w:t xml:space="preserve">шість </w:t>
      </w:r>
      <w:r w:rsidRPr="0040753C">
        <w:rPr>
          <w:sz w:val="22"/>
          <w:szCs w:val="22"/>
          <w:lang w:val="uk-UA"/>
        </w:rPr>
        <w:t xml:space="preserve">мільйонів </w:t>
      </w:r>
      <w:r>
        <w:rPr>
          <w:sz w:val="22"/>
          <w:szCs w:val="22"/>
          <w:lang w:val="uk-UA"/>
        </w:rPr>
        <w:t xml:space="preserve">п’ятсот п’ятдесят одна тисяча </w:t>
      </w:r>
      <w:r w:rsidRPr="0040753C">
        <w:rPr>
          <w:sz w:val="22"/>
          <w:szCs w:val="22"/>
          <w:lang w:val="uk-UA"/>
        </w:rPr>
        <w:t>гривень)</w:t>
      </w:r>
      <w:r w:rsidR="00824A64" w:rsidRPr="0040753C">
        <w:rPr>
          <w:sz w:val="22"/>
          <w:szCs w:val="22"/>
          <w:lang w:val="uk-UA"/>
        </w:rPr>
        <w:t xml:space="preserve"> на виплату дивідендів </w:t>
      </w:r>
      <w:r>
        <w:rPr>
          <w:sz w:val="22"/>
          <w:szCs w:val="22"/>
          <w:lang w:val="uk-UA"/>
        </w:rPr>
        <w:t xml:space="preserve">за </w:t>
      </w:r>
      <w:r w:rsidR="00824A64" w:rsidRPr="0040753C">
        <w:rPr>
          <w:sz w:val="22"/>
          <w:szCs w:val="22"/>
          <w:lang w:val="uk-UA"/>
        </w:rPr>
        <w:t>прост</w:t>
      </w:r>
      <w:r>
        <w:rPr>
          <w:sz w:val="22"/>
          <w:szCs w:val="22"/>
          <w:lang w:val="uk-UA"/>
        </w:rPr>
        <w:t xml:space="preserve">ими </w:t>
      </w:r>
      <w:r w:rsidR="00824A64" w:rsidRPr="0040753C">
        <w:rPr>
          <w:sz w:val="22"/>
          <w:szCs w:val="22"/>
          <w:lang w:val="uk-UA"/>
        </w:rPr>
        <w:t>іменн</w:t>
      </w:r>
      <w:r>
        <w:rPr>
          <w:sz w:val="22"/>
          <w:szCs w:val="22"/>
          <w:lang w:val="uk-UA"/>
        </w:rPr>
        <w:t>ими</w:t>
      </w:r>
      <w:r w:rsidR="00824A64" w:rsidRPr="0040753C">
        <w:rPr>
          <w:sz w:val="22"/>
          <w:szCs w:val="22"/>
          <w:lang w:val="uk-UA"/>
        </w:rPr>
        <w:t xml:space="preserve"> акці</w:t>
      </w:r>
      <w:r>
        <w:rPr>
          <w:sz w:val="22"/>
          <w:szCs w:val="22"/>
          <w:lang w:val="uk-UA"/>
        </w:rPr>
        <w:t>ями.</w:t>
      </w:r>
    </w:p>
    <w:p w:rsidR="00824A64" w:rsidRPr="00E3157E" w:rsidRDefault="00824A64" w:rsidP="00824A64">
      <w:pPr>
        <w:spacing w:line="216" w:lineRule="auto"/>
        <w:jc w:val="center"/>
        <w:rPr>
          <w:b/>
          <w:sz w:val="22"/>
          <w:szCs w:val="22"/>
          <w:lang w:val="uk-UA"/>
        </w:rPr>
      </w:pPr>
      <w:r w:rsidRPr="00E3157E">
        <w:rPr>
          <w:b/>
          <w:sz w:val="22"/>
          <w:szCs w:val="22"/>
          <w:lang w:val="uk-UA"/>
        </w:rPr>
        <w:t xml:space="preserve">Основні показники фінансово-господарської діяльності підприємства (тис. </w:t>
      </w:r>
      <w:proofErr w:type="spellStart"/>
      <w:r w:rsidRPr="00E3157E">
        <w:rPr>
          <w:b/>
          <w:sz w:val="22"/>
          <w:szCs w:val="22"/>
          <w:lang w:val="uk-UA"/>
        </w:rPr>
        <w:t>грн</w:t>
      </w:r>
      <w:proofErr w:type="spellEnd"/>
      <w:r w:rsidRPr="00E3157E">
        <w:rPr>
          <w:b/>
          <w:sz w:val="22"/>
          <w:szCs w:val="22"/>
          <w:lang w:val="uk-UA"/>
        </w:rPr>
        <w:t>)</w:t>
      </w:r>
    </w:p>
    <w:tbl>
      <w:tblPr>
        <w:tblStyle w:val="a5"/>
        <w:tblW w:w="0" w:type="auto"/>
        <w:tblInd w:w="817" w:type="dxa"/>
        <w:tblLook w:val="04A0" w:firstRow="1" w:lastRow="0" w:firstColumn="1" w:lastColumn="0" w:noHBand="0" w:noVBand="1"/>
      </w:tblPr>
      <w:tblGrid>
        <w:gridCol w:w="5954"/>
        <w:gridCol w:w="1417"/>
        <w:gridCol w:w="1525"/>
      </w:tblGrid>
      <w:tr w:rsidR="00824A64" w:rsidRPr="00684D52" w:rsidTr="008D7F71">
        <w:tc>
          <w:tcPr>
            <w:tcW w:w="5954" w:type="dxa"/>
            <w:vMerge w:val="restart"/>
            <w:vAlign w:val="center"/>
          </w:tcPr>
          <w:p w:rsidR="00824A64" w:rsidRPr="00684D52" w:rsidRDefault="00824A64" w:rsidP="00824A64">
            <w:pPr>
              <w:jc w:val="center"/>
              <w:rPr>
                <w:b/>
              </w:rPr>
            </w:pPr>
            <w:r w:rsidRPr="00684D52">
              <w:rPr>
                <w:b/>
                <w:lang w:val="uk-UA"/>
              </w:rPr>
              <w:t>Найменування показника</w:t>
            </w:r>
          </w:p>
        </w:tc>
        <w:tc>
          <w:tcPr>
            <w:tcW w:w="2942" w:type="dxa"/>
            <w:gridSpan w:val="2"/>
            <w:vAlign w:val="center"/>
          </w:tcPr>
          <w:p w:rsidR="00824A64" w:rsidRPr="00684D52" w:rsidRDefault="00824A64" w:rsidP="00824A64">
            <w:pPr>
              <w:jc w:val="center"/>
              <w:rPr>
                <w:b/>
              </w:rPr>
            </w:pPr>
            <w:r w:rsidRPr="00684D52">
              <w:rPr>
                <w:b/>
                <w:lang w:val="uk-UA"/>
              </w:rPr>
              <w:t>Період</w:t>
            </w:r>
          </w:p>
        </w:tc>
      </w:tr>
      <w:tr w:rsidR="00824A64" w:rsidRPr="00684D52" w:rsidTr="008D7F71">
        <w:tc>
          <w:tcPr>
            <w:tcW w:w="5954" w:type="dxa"/>
            <w:vMerge/>
            <w:vAlign w:val="center"/>
          </w:tcPr>
          <w:p w:rsidR="00824A64" w:rsidRPr="00684D52" w:rsidRDefault="00824A64" w:rsidP="00824A64">
            <w:pPr>
              <w:jc w:val="center"/>
              <w:rPr>
                <w:b/>
              </w:rPr>
            </w:pPr>
          </w:p>
        </w:tc>
        <w:tc>
          <w:tcPr>
            <w:tcW w:w="1417" w:type="dxa"/>
            <w:vAlign w:val="center"/>
          </w:tcPr>
          <w:p w:rsidR="00824A64" w:rsidRPr="00684D52" w:rsidRDefault="00824A64" w:rsidP="00824A64">
            <w:pPr>
              <w:jc w:val="center"/>
              <w:rPr>
                <w:b/>
              </w:rPr>
            </w:pPr>
            <w:r w:rsidRPr="00684D52">
              <w:rPr>
                <w:b/>
                <w:lang w:val="uk-UA"/>
              </w:rPr>
              <w:t>звітний</w:t>
            </w:r>
          </w:p>
        </w:tc>
        <w:tc>
          <w:tcPr>
            <w:tcW w:w="1525" w:type="dxa"/>
            <w:vAlign w:val="center"/>
          </w:tcPr>
          <w:p w:rsidR="00824A64" w:rsidRPr="00684D52" w:rsidRDefault="00824A64" w:rsidP="00824A64">
            <w:pPr>
              <w:jc w:val="center"/>
              <w:rPr>
                <w:b/>
              </w:rPr>
            </w:pPr>
            <w:r w:rsidRPr="00684D52">
              <w:rPr>
                <w:b/>
                <w:lang w:val="uk-UA"/>
              </w:rPr>
              <w:t>попередній</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Усього активів</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126851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128814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Основні засоби (за залишковою вартістю)</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34632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25311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Запаси</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15498</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23205</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Сумарна дебіторська заборгованість</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41852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47107</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Гроші та їх еквіваленти</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7220</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1674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Нерозподілений прибуток (непокритий збиток)</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51047</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46614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Власний капітал</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131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131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Зареєстрований (статутний) капітал</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525</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525</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Довгострокові зобов'язання і забезпечення</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7102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8161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Поточні зобов'язання і забезпечення</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32807</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35518</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Чистий фінансовий результат: прибуток (збиток)</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6551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6438</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Середньорічна кількість акцій (шт.)</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2100600</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2100600</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Чистий прибуток (збиток) на одну просту акцію (</w:t>
            </w:r>
            <w:proofErr w:type="spellStart"/>
            <w:r w:rsidRPr="00684D52">
              <w:rPr>
                <w:lang w:val="uk-UA"/>
              </w:rPr>
              <w:t>грн</w:t>
            </w:r>
            <w:proofErr w:type="spellEnd"/>
            <w:r w:rsidRPr="00684D52">
              <w:rPr>
                <w:lang w:val="uk-UA"/>
              </w:rPr>
              <w:t>)</w:t>
            </w:r>
          </w:p>
        </w:tc>
        <w:tc>
          <w:tcPr>
            <w:tcW w:w="1417" w:type="dxa"/>
            <w:vAlign w:val="center"/>
          </w:tcPr>
          <w:p w:rsidR="00824A64" w:rsidRPr="00684D52" w:rsidRDefault="00824A64" w:rsidP="00824A64">
            <w:pPr>
              <w:pStyle w:val="a6"/>
              <w:spacing w:before="0" w:beforeAutospacing="0" w:after="0" w:afterAutospacing="0"/>
              <w:jc w:val="center"/>
              <w:rPr>
                <w:lang w:val="en-US"/>
              </w:rPr>
            </w:pPr>
            <w:r>
              <w:rPr>
                <w:lang w:val="en-US"/>
              </w:rPr>
              <w:t>3</w:t>
            </w:r>
            <w:r>
              <w:t>,</w:t>
            </w:r>
            <w:r>
              <w:rPr>
                <w:lang w:val="en-US"/>
              </w:rPr>
              <w:t>12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rPr>
                <w:lang w:val="en-US"/>
              </w:rPr>
              <w:t>3</w:t>
            </w:r>
            <w:r w:rsidRPr="00684D52">
              <w:rPr>
                <w:lang w:val="uk-UA"/>
              </w:rPr>
              <w:t>,</w:t>
            </w:r>
            <w:r w:rsidRPr="00684D52">
              <w:rPr>
                <w:lang w:val="en-US"/>
              </w:rPr>
              <w:t>06</w:t>
            </w:r>
          </w:p>
        </w:tc>
      </w:tr>
    </w:tbl>
    <w:p w:rsidR="00824A64" w:rsidRDefault="00824A64" w:rsidP="00824A64">
      <w:pPr>
        <w:pStyle w:val="a3"/>
        <w:spacing w:line="216" w:lineRule="auto"/>
        <w:ind w:firstLine="708"/>
        <w:rPr>
          <w:color w:val="000000"/>
          <w:szCs w:val="22"/>
        </w:rPr>
      </w:pPr>
    </w:p>
    <w:p w:rsidR="00824A64" w:rsidRDefault="00824A64" w:rsidP="00824A64">
      <w:pPr>
        <w:pStyle w:val="a3"/>
        <w:spacing w:line="216" w:lineRule="auto"/>
        <w:ind w:firstLine="708"/>
        <w:rPr>
          <w:color w:val="000000"/>
          <w:szCs w:val="22"/>
        </w:rPr>
      </w:pPr>
      <w:r w:rsidRPr="00C75D40">
        <w:rPr>
          <w:color w:val="000000"/>
          <w:szCs w:val="22"/>
        </w:rPr>
        <w:t xml:space="preserve">Акціонери можуть ознайомитися з документами, </w:t>
      </w:r>
      <w:r>
        <w:rPr>
          <w:color w:val="000000"/>
          <w:szCs w:val="22"/>
        </w:rPr>
        <w:t>необхідними для прийняття рішень</w:t>
      </w:r>
      <w:r w:rsidRPr="00C75D40">
        <w:rPr>
          <w:color w:val="000000"/>
          <w:szCs w:val="22"/>
        </w:rPr>
        <w:t xml:space="preserve"> з </w:t>
      </w:r>
      <w:r>
        <w:rPr>
          <w:color w:val="000000"/>
          <w:szCs w:val="22"/>
        </w:rPr>
        <w:t xml:space="preserve">питань </w:t>
      </w:r>
      <w:r w:rsidRPr="00C75D40">
        <w:rPr>
          <w:color w:val="000000"/>
          <w:szCs w:val="22"/>
        </w:rPr>
        <w:t>порядк</w:t>
      </w:r>
      <w:r>
        <w:rPr>
          <w:color w:val="000000"/>
          <w:szCs w:val="22"/>
        </w:rPr>
        <w:t>у</w:t>
      </w:r>
      <w:r w:rsidRPr="00C75D40">
        <w:rPr>
          <w:color w:val="000000"/>
          <w:szCs w:val="22"/>
        </w:rPr>
        <w:t xml:space="preserve"> денн</w:t>
      </w:r>
      <w:r>
        <w:rPr>
          <w:color w:val="000000"/>
          <w:szCs w:val="22"/>
        </w:rPr>
        <w:t>ого</w:t>
      </w:r>
      <w:r w:rsidRPr="00C75D40">
        <w:rPr>
          <w:color w:val="000000"/>
          <w:szCs w:val="22"/>
        </w:rPr>
        <w:t xml:space="preserve"> загальних зборів, за адресою: 49035, м. Дніпро, вул. Юдіна, буд. 11, приміщення адміністративного корпусу </w:t>
      </w:r>
      <w:proofErr w:type="spellStart"/>
      <w:r w:rsidRPr="00C75D40">
        <w:rPr>
          <w:color w:val="000000"/>
          <w:szCs w:val="22"/>
        </w:rPr>
        <w:t>П</w:t>
      </w:r>
      <w:r>
        <w:rPr>
          <w:color w:val="000000"/>
          <w:szCs w:val="22"/>
        </w:rPr>
        <w:t>р</w:t>
      </w:r>
      <w:r w:rsidRPr="00C75D40">
        <w:rPr>
          <w:color w:val="000000"/>
          <w:szCs w:val="22"/>
        </w:rPr>
        <w:t>АТ</w:t>
      </w:r>
      <w:proofErr w:type="spellEnd"/>
      <w:r w:rsidRPr="00C75D40">
        <w:rPr>
          <w:color w:val="000000"/>
          <w:szCs w:val="22"/>
        </w:rPr>
        <w:t xml:space="preserve"> «Прогрес», в приймальні Генерального директора в робочі дні</w:t>
      </w:r>
      <w:r>
        <w:rPr>
          <w:color w:val="000000"/>
          <w:szCs w:val="22"/>
          <w:lang w:val="ru-RU"/>
        </w:rPr>
        <w:t>,</w:t>
      </w:r>
      <w:r w:rsidRPr="00C75D40">
        <w:rPr>
          <w:color w:val="000000"/>
          <w:szCs w:val="22"/>
        </w:rPr>
        <w:t xml:space="preserve">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r w:rsidR="00E10C20">
        <w:rPr>
          <w:color w:val="000000"/>
          <w:szCs w:val="22"/>
        </w:rPr>
        <w:t>Новікова Ольга Олексіївна</w:t>
      </w:r>
      <w:r w:rsidRPr="00C75D40">
        <w:rPr>
          <w:color w:val="000000"/>
          <w:szCs w:val="22"/>
        </w:rPr>
        <w:t>.</w:t>
      </w:r>
    </w:p>
    <w:p w:rsidR="00824A64" w:rsidRDefault="00824A64" w:rsidP="00824A64">
      <w:pPr>
        <w:pStyle w:val="a3"/>
        <w:spacing w:line="216" w:lineRule="auto"/>
        <w:ind w:firstLine="708"/>
        <w:rPr>
          <w:color w:val="000000"/>
          <w:shd w:val="clear" w:color="auto" w:fill="FFFFFF"/>
        </w:rPr>
      </w:pPr>
      <w:r>
        <w:rPr>
          <w:color w:val="000000"/>
          <w:shd w:val="clear" w:color="auto" w:fill="FFFFFF"/>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824A64" w:rsidRDefault="00824A64" w:rsidP="00824A64">
      <w:pPr>
        <w:pStyle w:val="a3"/>
        <w:spacing w:line="216" w:lineRule="auto"/>
        <w:ind w:firstLine="708"/>
        <w:rPr>
          <w:color w:val="000000"/>
          <w:shd w:val="clear" w:color="auto" w:fill="FFFFFF"/>
        </w:rPr>
      </w:pPr>
      <w:r>
        <w:rPr>
          <w:color w:val="000000"/>
          <w:shd w:val="clear" w:color="auto" w:fill="FFFFFF"/>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824A64" w:rsidRPr="00C75D40" w:rsidRDefault="00824A64" w:rsidP="00824A64">
      <w:pPr>
        <w:pStyle w:val="a3"/>
        <w:spacing w:line="216" w:lineRule="auto"/>
        <w:ind w:firstLine="708"/>
        <w:rPr>
          <w:color w:val="000000"/>
          <w:szCs w:val="22"/>
        </w:rPr>
      </w:pPr>
      <w:r w:rsidRPr="009D545C">
        <w:rPr>
          <w:color w:val="000000"/>
          <w:szCs w:val="22"/>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824A64" w:rsidRPr="00C75D40" w:rsidRDefault="00824A64" w:rsidP="00824A64">
      <w:pPr>
        <w:pStyle w:val="a3"/>
        <w:spacing w:line="216" w:lineRule="auto"/>
        <w:ind w:firstLine="708"/>
        <w:rPr>
          <w:color w:val="000000"/>
          <w:szCs w:val="22"/>
        </w:rPr>
      </w:pPr>
      <w:r w:rsidRPr="00C75D40">
        <w:rPr>
          <w:color w:val="000000"/>
          <w:szCs w:val="22"/>
        </w:rPr>
        <w:t xml:space="preserve">Проекти рішень щодо кожного з питань, включених до проекту порядку денного розміщено на веб-сайті за посиланням </w:t>
      </w:r>
      <w:r w:rsidRPr="009D545C">
        <w:rPr>
          <w:color w:val="000000"/>
          <w:szCs w:val="22"/>
        </w:rPr>
        <w:t>http://progressmeb.pat.ua. Довідки за тел. (056) 789-38-85.</w:t>
      </w:r>
      <w:bookmarkStart w:id="0" w:name="_GoBack"/>
      <w:bookmarkEnd w:id="0"/>
    </w:p>
    <w:p w:rsidR="007648A8" w:rsidRDefault="006D0E94" w:rsidP="00824A64">
      <w:pPr>
        <w:spacing w:line="216" w:lineRule="auto"/>
      </w:pPr>
    </w:p>
    <w:sectPr w:rsidR="007648A8" w:rsidSect="00E10C20">
      <w:pgSz w:w="11906" w:h="16838"/>
      <w:pgMar w:top="340" w:right="454" w:bottom="346"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64"/>
    <w:rsid w:val="001D1F1D"/>
    <w:rsid w:val="004264E5"/>
    <w:rsid w:val="006D0E94"/>
    <w:rsid w:val="0081017F"/>
    <w:rsid w:val="00814C4B"/>
    <w:rsid w:val="00824A64"/>
    <w:rsid w:val="00D65E57"/>
    <w:rsid w:val="00E10C20"/>
    <w:rsid w:val="00F8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A6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A64"/>
    <w:rPr>
      <w:rFonts w:ascii="Times New Roman" w:eastAsia="Times New Roman" w:hAnsi="Times New Roman" w:cs="Times New Roman"/>
      <w:b/>
      <w:bCs/>
      <w:szCs w:val="24"/>
      <w:lang w:val="uk-UA" w:eastAsia="ru-RU"/>
    </w:rPr>
  </w:style>
  <w:style w:type="paragraph" w:styleId="a3">
    <w:name w:val="Body Text"/>
    <w:basedOn w:val="a"/>
    <w:link w:val="a4"/>
    <w:rsid w:val="00824A64"/>
    <w:pPr>
      <w:jc w:val="both"/>
    </w:pPr>
    <w:rPr>
      <w:sz w:val="22"/>
      <w:lang w:val="uk-UA"/>
    </w:rPr>
  </w:style>
  <w:style w:type="character" w:customStyle="1" w:styleId="a4">
    <w:name w:val="Основной текст Знак"/>
    <w:basedOn w:val="a0"/>
    <w:link w:val="a3"/>
    <w:rsid w:val="00824A64"/>
    <w:rPr>
      <w:rFonts w:ascii="Times New Roman" w:eastAsia="Times New Roman" w:hAnsi="Times New Roman" w:cs="Times New Roman"/>
      <w:szCs w:val="24"/>
      <w:lang w:val="uk-UA" w:eastAsia="ru-RU"/>
    </w:rPr>
  </w:style>
  <w:style w:type="table" w:styleId="a5">
    <w:name w:val="Table Grid"/>
    <w:basedOn w:val="a1"/>
    <w:uiPriority w:val="59"/>
    <w:rsid w:val="00824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4A64"/>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A6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A64"/>
    <w:rPr>
      <w:rFonts w:ascii="Times New Roman" w:eastAsia="Times New Roman" w:hAnsi="Times New Roman" w:cs="Times New Roman"/>
      <w:b/>
      <w:bCs/>
      <w:szCs w:val="24"/>
      <w:lang w:val="uk-UA" w:eastAsia="ru-RU"/>
    </w:rPr>
  </w:style>
  <w:style w:type="paragraph" w:styleId="a3">
    <w:name w:val="Body Text"/>
    <w:basedOn w:val="a"/>
    <w:link w:val="a4"/>
    <w:rsid w:val="00824A64"/>
    <w:pPr>
      <w:jc w:val="both"/>
    </w:pPr>
    <w:rPr>
      <w:sz w:val="22"/>
      <w:lang w:val="uk-UA"/>
    </w:rPr>
  </w:style>
  <w:style w:type="character" w:customStyle="1" w:styleId="a4">
    <w:name w:val="Основной текст Знак"/>
    <w:basedOn w:val="a0"/>
    <w:link w:val="a3"/>
    <w:rsid w:val="00824A64"/>
    <w:rPr>
      <w:rFonts w:ascii="Times New Roman" w:eastAsia="Times New Roman" w:hAnsi="Times New Roman" w:cs="Times New Roman"/>
      <w:szCs w:val="24"/>
      <w:lang w:val="uk-UA" w:eastAsia="ru-RU"/>
    </w:rPr>
  </w:style>
  <w:style w:type="table" w:styleId="a5">
    <w:name w:val="Table Grid"/>
    <w:basedOn w:val="a1"/>
    <w:uiPriority w:val="59"/>
    <w:rsid w:val="00824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4A6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4</cp:revision>
  <dcterms:created xsi:type="dcterms:W3CDTF">2020-07-21T07:58:00Z</dcterms:created>
  <dcterms:modified xsi:type="dcterms:W3CDTF">2020-07-22T12:45:00Z</dcterms:modified>
</cp:coreProperties>
</file>